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3" w:rsidRDefault="007C3A83" w:rsidP="007C3A83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Дело № 2-10185/2016</w:t>
      </w:r>
    </w:p>
    <w:p w:rsidR="007C3A83" w:rsidRDefault="007C3A83" w:rsidP="007C3A83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 Ш Е Н И Е</w:t>
      </w:r>
    </w:p>
    <w:p w:rsidR="007C3A83" w:rsidRDefault="007C3A83" w:rsidP="007C3A83">
      <w:pPr>
        <w:pStyle w:val="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Именем Российской Федерации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Одинцовский городской суд Московской области в составе: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председательствующего судьи            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Васиной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Д.К.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секретаре                                            Кузнецовой Д.И.,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рассмотрев в открытом судебном заседании гражданское дело по исковому заявлению общества с ограниченной ответственностью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 xml:space="preserve">» 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Банжурак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4"/>
          <w:rFonts w:ascii="Arial" w:hAnsi="Arial" w:cs="Arial"/>
          <w:color w:val="000000"/>
          <w:sz w:val="17"/>
          <w:szCs w:val="17"/>
        </w:rPr>
        <w:t>И.Е.</w:t>
      </w:r>
      <w:r>
        <w:rPr>
          <w:rFonts w:ascii="Arial" w:hAnsi="Arial" w:cs="Arial"/>
          <w:color w:val="000000"/>
          <w:sz w:val="17"/>
          <w:szCs w:val="17"/>
        </w:rPr>
        <w:t>, Самойлову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5"/>
          <w:rFonts w:ascii="Arial" w:hAnsi="Arial" w:cs="Arial"/>
          <w:color w:val="000000"/>
          <w:sz w:val="17"/>
          <w:szCs w:val="17"/>
        </w:rPr>
        <w:t>В.Н.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Сиянгуловой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6"/>
          <w:rFonts w:ascii="Arial" w:hAnsi="Arial" w:cs="Arial"/>
          <w:color w:val="000000"/>
          <w:sz w:val="17"/>
          <w:szCs w:val="17"/>
        </w:rPr>
        <w:t>К.И.</w:t>
      </w:r>
      <w:r>
        <w:rPr>
          <w:rFonts w:ascii="Arial" w:hAnsi="Arial" w:cs="Arial"/>
          <w:color w:val="000000"/>
          <w:sz w:val="17"/>
          <w:szCs w:val="17"/>
        </w:rPr>
        <w:t>, Черкасовой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7"/>
          <w:rFonts w:ascii="Arial" w:hAnsi="Arial" w:cs="Arial"/>
          <w:color w:val="000000"/>
          <w:sz w:val="17"/>
          <w:szCs w:val="17"/>
        </w:rPr>
        <w:t>О.В.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Хамидулину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8"/>
          <w:rFonts w:ascii="Arial" w:hAnsi="Arial" w:cs="Arial"/>
          <w:color w:val="000000"/>
          <w:sz w:val="17"/>
          <w:szCs w:val="17"/>
        </w:rPr>
        <w:t>Р.В.</w:t>
      </w:r>
      <w:r>
        <w:rPr>
          <w:rFonts w:ascii="Arial" w:hAnsi="Arial" w:cs="Arial"/>
          <w:color w:val="000000"/>
          <w:sz w:val="17"/>
          <w:szCs w:val="17"/>
        </w:rPr>
        <w:t>, Бажановой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9"/>
          <w:rFonts w:ascii="Arial" w:hAnsi="Arial" w:cs="Arial"/>
          <w:color w:val="000000"/>
          <w:sz w:val="17"/>
          <w:szCs w:val="17"/>
        </w:rPr>
        <w:t>В.Г.</w:t>
      </w:r>
      <w:r>
        <w:rPr>
          <w:rFonts w:ascii="Arial" w:hAnsi="Arial" w:cs="Arial"/>
          <w:color w:val="000000"/>
          <w:sz w:val="17"/>
          <w:szCs w:val="17"/>
        </w:rPr>
        <w:t>, Логиновой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20"/>
          <w:rFonts w:ascii="Arial" w:hAnsi="Arial" w:cs="Arial"/>
          <w:color w:val="000000"/>
          <w:sz w:val="17"/>
          <w:szCs w:val="17"/>
        </w:rPr>
        <w:t>О.И.</w:t>
      </w:r>
      <w:r>
        <w:rPr>
          <w:rFonts w:ascii="Arial" w:hAnsi="Arial" w:cs="Arial"/>
          <w:color w:val="000000"/>
          <w:sz w:val="17"/>
          <w:szCs w:val="17"/>
        </w:rPr>
        <w:t>, ТСН «</w:t>
      </w:r>
      <w:r>
        <w:rPr>
          <w:rStyle w:val="fio21"/>
          <w:rFonts w:ascii="Arial" w:hAnsi="Arial" w:cs="Arial"/>
          <w:color w:val="000000"/>
          <w:sz w:val="17"/>
          <w:szCs w:val="17"/>
        </w:rPr>
        <w:t>наименование</w:t>
      </w:r>
      <w:proofErr w:type="gramStart"/>
      <w:r>
        <w:rPr>
          <w:rStyle w:val="fio21"/>
          <w:rFonts w:ascii="Arial" w:hAnsi="Arial" w:cs="Arial"/>
          <w:color w:val="000000"/>
          <w:sz w:val="17"/>
          <w:szCs w:val="17"/>
        </w:rPr>
        <w:t>1</w:t>
      </w:r>
      <w:proofErr w:type="gramEnd"/>
      <w:r>
        <w:rPr>
          <w:rFonts w:ascii="Arial" w:hAnsi="Arial" w:cs="Arial"/>
          <w:color w:val="000000"/>
          <w:sz w:val="17"/>
          <w:szCs w:val="17"/>
        </w:rPr>
        <w:t>» о признании недействительным решения общего собрания,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Общество с ограниченной ответственностью «Новая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Трехгорка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» (далее – ООО «Новая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Трехгорка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», истец) обратилось в суд с исковым заявлением 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Банжурак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4"/>
          <w:rFonts w:ascii="Arial" w:hAnsi="Arial" w:cs="Arial"/>
          <w:color w:val="000000"/>
          <w:sz w:val="17"/>
          <w:szCs w:val="17"/>
        </w:rPr>
        <w:t>И.Е.</w:t>
      </w:r>
      <w:r>
        <w:rPr>
          <w:rFonts w:ascii="Arial" w:hAnsi="Arial" w:cs="Arial"/>
          <w:color w:val="000000"/>
          <w:sz w:val="17"/>
          <w:szCs w:val="17"/>
        </w:rPr>
        <w:t>, Самойлову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5"/>
          <w:rFonts w:ascii="Arial" w:hAnsi="Arial" w:cs="Arial"/>
          <w:color w:val="000000"/>
          <w:sz w:val="17"/>
          <w:szCs w:val="17"/>
        </w:rPr>
        <w:t>В.Н.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Сиянгуловой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6"/>
          <w:rFonts w:ascii="Arial" w:hAnsi="Arial" w:cs="Arial"/>
          <w:color w:val="000000"/>
          <w:sz w:val="17"/>
          <w:szCs w:val="17"/>
        </w:rPr>
        <w:t>К.И.</w:t>
      </w:r>
      <w:r>
        <w:rPr>
          <w:rFonts w:ascii="Arial" w:hAnsi="Arial" w:cs="Arial"/>
          <w:color w:val="000000"/>
          <w:sz w:val="17"/>
          <w:szCs w:val="17"/>
        </w:rPr>
        <w:t>, Черкасовой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7"/>
          <w:rFonts w:ascii="Arial" w:hAnsi="Arial" w:cs="Arial"/>
          <w:color w:val="000000"/>
          <w:sz w:val="17"/>
          <w:szCs w:val="17"/>
        </w:rPr>
        <w:t>О.В.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Хамидулину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8"/>
          <w:rFonts w:ascii="Arial" w:hAnsi="Arial" w:cs="Arial"/>
          <w:color w:val="000000"/>
          <w:sz w:val="17"/>
          <w:szCs w:val="17"/>
        </w:rPr>
        <w:t>Р.В.</w:t>
      </w:r>
      <w:r>
        <w:rPr>
          <w:rFonts w:ascii="Arial" w:hAnsi="Arial" w:cs="Arial"/>
          <w:color w:val="000000"/>
          <w:sz w:val="17"/>
          <w:szCs w:val="17"/>
        </w:rPr>
        <w:t>, Бажановой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9"/>
          <w:rFonts w:ascii="Arial" w:hAnsi="Arial" w:cs="Arial"/>
          <w:color w:val="000000"/>
          <w:sz w:val="17"/>
          <w:szCs w:val="17"/>
        </w:rPr>
        <w:t>В.Г.</w:t>
      </w:r>
      <w:r>
        <w:rPr>
          <w:rFonts w:ascii="Arial" w:hAnsi="Arial" w:cs="Arial"/>
          <w:color w:val="000000"/>
          <w:sz w:val="17"/>
          <w:szCs w:val="17"/>
        </w:rPr>
        <w:t>, Логиновой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20"/>
          <w:rFonts w:ascii="Arial" w:hAnsi="Arial" w:cs="Arial"/>
          <w:color w:val="000000"/>
          <w:sz w:val="17"/>
          <w:szCs w:val="17"/>
        </w:rPr>
        <w:t>О.И.</w:t>
      </w:r>
      <w:r>
        <w:rPr>
          <w:rFonts w:ascii="Arial" w:hAnsi="Arial" w:cs="Arial"/>
          <w:color w:val="000000"/>
          <w:sz w:val="17"/>
          <w:szCs w:val="17"/>
        </w:rPr>
        <w:t>, ТСН «</w:t>
      </w:r>
      <w:r>
        <w:rPr>
          <w:rStyle w:val="fio21"/>
          <w:rFonts w:ascii="Arial" w:hAnsi="Arial" w:cs="Arial"/>
          <w:color w:val="000000"/>
          <w:sz w:val="17"/>
          <w:szCs w:val="17"/>
        </w:rPr>
        <w:t>наименование</w:t>
      </w:r>
      <w:proofErr w:type="gramStart"/>
      <w:r>
        <w:rPr>
          <w:rStyle w:val="fio21"/>
          <w:rFonts w:ascii="Arial" w:hAnsi="Arial" w:cs="Arial"/>
          <w:color w:val="000000"/>
          <w:sz w:val="17"/>
          <w:szCs w:val="17"/>
        </w:rPr>
        <w:t>1</w:t>
      </w:r>
      <w:proofErr w:type="gramEnd"/>
      <w:r>
        <w:rPr>
          <w:rFonts w:ascii="Arial" w:hAnsi="Arial" w:cs="Arial"/>
          <w:color w:val="000000"/>
          <w:sz w:val="17"/>
          <w:szCs w:val="17"/>
        </w:rPr>
        <w:t>» (далее - ответчики), в котором просило: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 признать недействительным решение общего собрания собственников помещений в многоквартирном доме, расположенном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Fonts w:ascii="Arial" w:hAnsi="Arial" w:cs="Arial"/>
          <w:color w:val="000000"/>
          <w:sz w:val="17"/>
          <w:szCs w:val="17"/>
        </w:rPr>
        <w:t>, оформленное протоколом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о создании товарищества собственников недвижимости и передаче в управление многоквартирного дома;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признать недействительным решение общего собрания собственников помещений в многоквартирном доме, расположенном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Fonts w:ascii="Arial" w:hAnsi="Arial" w:cs="Arial"/>
          <w:color w:val="000000"/>
          <w:sz w:val="17"/>
          <w:szCs w:val="17"/>
        </w:rPr>
        <w:t>, оформленное протоколом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о расторжении в одностороннем порядке договора управления многоквартирным домом, заключенным с 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качестве третьих лиц, не заявляющих самостоятельных требований относительно предмета спора в деле принимают участие Главное управление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31"/>
          <w:rFonts w:ascii="Arial" w:hAnsi="Arial" w:cs="Arial"/>
          <w:color w:val="000000"/>
          <w:sz w:val="17"/>
          <w:szCs w:val="17"/>
        </w:rPr>
        <w:t>наименование</w:t>
      </w:r>
      <w:proofErr w:type="gramStart"/>
      <w:r>
        <w:rPr>
          <w:rStyle w:val="fio31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и Межрайонная ИФНС России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по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1"/>
          <w:rFonts w:ascii="Arial" w:hAnsi="Arial" w:cs="Arial"/>
          <w:color w:val="000000"/>
          <w:sz w:val="17"/>
          <w:szCs w:val="17"/>
        </w:rPr>
        <w:t>.....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области.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представитель истца поддержал заявленные требования в полном объеме, представил для приобщения к материалам дела дополнительные документы. Ходатайствовал об отложении судебного заседания с целью предоставления выписок.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Суд, рассмотрев заявленное истцом ходатайство об отложении судебного разбирательства, не нашел оснований для его удовлетворения.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Также суд отказал в удовлетворении заявленного представителем Бажановой В.Г. ходатайства о прекращении производства по делу.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Представители ответчиков просили в удовлетворении заявленных требований отказать.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Представители Самойлова В.Н.,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Хамидулина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Р.В., Логиновой О.И., а также третьих лиц, надлежащим образом уведомленных о времени и месте судебного заседания, не явились.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 в соответствии с частью 4 статьи 167 Гражданского процессуального кодекса Российской Федерации (далее – ГПК РФ) рассматривает дело в отсутствие представителей сторон, извещенных о времени и месте судебного заседания, не сообщивших суду об уважительных причинах неявки.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Исследовав материалы дела, заслушав мнение представителей лиц, участвующих в деле, судом установлено следующее.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протокола общего собрания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и постановления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апелляционного арбитражного суда по делу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 является управляющей компанией многоквартирного дома, расположенного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Банжурак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И.Е., Самойловым В.Н.,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Сиянгуловой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К.И., Черкасовой О.В.,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Хамидулиным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Р.В., Бажановой В.Г., Логиновой О.И.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было инициировано собрание, на котором принято решение общего собрания собственников помещений в многоквартирном доме, расположенном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gramStart"/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Fonts w:ascii="Arial" w:hAnsi="Arial" w:cs="Arial"/>
          <w:color w:val="000000"/>
          <w:sz w:val="17"/>
          <w:szCs w:val="17"/>
        </w:rPr>
        <w:t>, оформленное протоколом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о создании товарищества собственников недвижимости и передаче в управление многоквартирного дома.</w:t>
      </w:r>
      <w:proofErr w:type="gramEnd"/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Ссылаясь на недействительность указанного решения общего собрания собственников помещений в многоквартирном доме, изложенных в протоколе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 обратилось в суд с настоящими требованиями.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Изучив доводы лиц, участвующих в деле, оценив в совокупности все имеющиеся в материалах дела письменные доказательства, суд считает заявленные требования неподлежащими удовлетворению по следующим основаниям.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частью 1 статьи 44 Жилищного кодекса Российской Федерации (далее – ЖК РФ) 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Порядок проведения общего собрания собственников помещений в многоквартирном доме прописан в статье 45 ЖК РФ.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Так, частью 3 названной статьи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силу части 1 статьи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пунктом 1.1 части 2 статьи 44 настоящего Кодекса решений, которые принимаются более чем пятьюдесятью процентами голосов от общего числа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голосов собственников помещений в многоквартирном доме, и предусмотренных пунктами 1, 1.1-1, 1.2 - 3.1, 4.2, 4.3 части 2 статьи 44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</w:t>
      </w:r>
      <w:r>
        <w:rPr>
          <w:rFonts w:ascii="Arial" w:hAnsi="Arial" w:cs="Arial"/>
          <w:color w:val="000000"/>
          <w:sz w:val="17"/>
          <w:szCs w:val="17"/>
        </w:rPr>
        <w:lastRenderedPageBreak/>
        <w:t>собрание.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  <w:proofErr w:type="gramEnd"/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части 4 статьи 46 ЖК РФ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частью 5 статьи 46 ЖК РФ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обоснование заявленных требований 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 указало на то, что оспариваемое решение общего собрания собственников о создании ТСН «</w:t>
      </w:r>
      <w:r>
        <w:rPr>
          <w:rStyle w:val="fio21"/>
          <w:rFonts w:ascii="Arial" w:hAnsi="Arial" w:cs="Arial"/>
          <w:color w:val="000000"/>
          <w:sz w:val="17"/>
          <w:szCs w:val="17"/>
        </w:rPr>
        <w:t>наименование</w:t>
      </w:r>
      <w:proofErr w:type="gramStart"/>
      <w:r>
        <w:rPr>
          <w:rStyle w:val="fio21"/>
          <w:rFonts w:ascii="Arial" w:hAnsi="Arial" w:cs="Arial"/>
          <w:color w:val="000000"/>
          <w:sz w:val="17"/>
          <w:szCs w:val="17"/>
        </w:rPr>
        <w:t>1</w:t>
      </w:r>
      <w:proofErr w:type="gramEnd"/>
      <w:r>
        <w:rPr>
          <w:rFonts w:ascii="Arial" w:hAnsi="Arial" w:cs="Arial"/>
          <w:color w:val="000000"/>
          <w:sz w:val="17"/>
          <w:szCs w:val="17"/>
        </w:rPr>
        <w:t>» в силу пункта 2 статьи 181.5 Гражданского кодекса Российской Федерации (далее – ГК) носит ничтожный характер из-за отсутствия необходимого кворума для его принятия данного.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Также истец пояснил, что протокол собрания не подписан всеми лицами, голосовавшими за создания ТСН, число членов созданного ТСН меньше минимально допустимого уровня, в силу чего данное решение является ничтожным.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Пунктом 1 статьи 181.3 ГК РФ предусмотрено, что решение собрания недействительно по основаниям, установленным настоящим Кодексом или иными законами, в силу признания его таковым судом (оспоримое решение) или независимо от такого признания (ничтожное решение). Согласно ст. 181.5 ГК РФ решение собрания ничтожно в случае, если оно принято при отсутствии необходимого кворума.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пунктам 104 и 105 Постановления Пленума Верховного Суда РФ от 23.06.2015 № 25 «О применении судами некоторых положений раздела I части первой Гражданского кодекса Российской Федерации» по смыслу пункта 1 статьи 2, пункта 6 статьи 50 и пункта 2 статьи 181.1 ГК РФ под решениями собраний понимаются решения гражданск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о-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правового сообщества, т.е. определенной группы лиц, наделенной полномочиями принимать на собраниях решения, с которыми закон связывает гражданск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о-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правовые последствия, обязательные для всех лиц, имевших право участвовать в таком собрании, а также для иных лиц, если это установлено законом или вытекает из существа отношений.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Также 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 сослалось на то, что в протоколе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общего собрания собственников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которым и оформлено учреждение ТСН содержаться сведения о количестве голосов собственников, принявших участие в голосовании, составляющем 10814,29 или 64,34% от общего числа голосов собственников помещений в многоквартирном доме (17 302 голоса). Пунктом 5 повестки дня данного собрания являлся вопрос о создании ТСН и передаче в управление оному многоквартирного дома. Положительно по данному вопросу проголосовало 58,83 % от числа участвующих в данном собрании или 6 362 голоса, что составляет лишь 36,77 % от общего числа голосов собственников помещений в таком доме.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по мнению истца, решение о создании ТСН не может считаться принятым ввиду отсутствия необходимого количества голосов.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протокол общего собрания не советует характеристикам, которые установлены к Требованиями к оформлению протоколов общих собраний собственников помещений в многоквартирных домах, которые утверждены Приказом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37"/>
          <w:rFonts w:ascii="Arial" w:hAnsi="Arial" w:cs="Arial"/>
          <w:color w:val="000000"/>
          <w:sz w:val="17"/>
          <w:szCs w:val="17"/>
        </w:rPr>
        <w:t>"наименование3"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и не содержит иных обязательных приложений к нему.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Ответчики исковые требования не признали, в обоснование заявленных возражений пояснили следующее.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Жители многоквартирного жилого дома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провели в установленном законом порядке общее собрание собственников помещений, на котором выбрали в качестве способа управления многоквартирным домом - управление Товариществом собственников недвижимости «</w:t>
      </w:r>
      <w:r>
        <w:rPr>
          <w:rStyle w:val="fio21"/>
          <w:rFonts w:ascii="Arial" w:hAnsi="Arial" w:cs="Arial"/>
          <w:color w:val="000000"/>
          <w:sz w:val="17"/>
          <w:szCs w:val="17"/>
        </w:rPr>
        <w:t>наименование</w:t>
      </w:r>
      <w:proofErr w:type="gramStart"/>
      <w:r>
        <w:rPr>
          <w:rStyle w:val="fio21"/>
          <w:rFonts w:ascii="Arial" w:hAnsi="Arial" w:cs="Arial"/>
          <w:color w:val="000000"/>
          <w:sz w:val="17"/>
          <w:szCs w:val="17"/>
        </w:rPr>
        <w:t>1</w:t>
      </w:r>
      <w:proofErr w:type="gramEnd"/>
      <w:r>
        <w:rPr>
          <w:rFonts w:ascii="Arial" w:hAnsi="Arial" w:cs="Arial"/>
          <w:color w:val="000000"/>
          <w:sz w:val="17"/>
          <w:szCs w:val="17"/>
        </w:rPr>
        <w:t>».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указанное ТСН прошло государственную регистрацию и постановку на налоговый учет (ОГРН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ИНН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).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протоколу общего собрания собственников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кворум был набран, в связи с чем проведенное общее собрание собственников правомочно.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соответствии с пунктом 4 статьи 45 ЖК РФ,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позднее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чем за десять дней до даты его проведения.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таким решением и доступном для всех собственников помещений в данном доме.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общем собрании собственников помещений (Протокол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) способом уведомления об общем собрании собственников выбрано размещение уведомления об общем собрании собственников и об итогах голосования и принятых решениях путем размещения уведомлений и итогов голосований на информационных досках в подъездах дома, на дверях подъезда,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Fonts w:ascii="Arial" w:hAnsi="Arial" w:cs="Arial"/>
          <w:color w:val="000000"/>
          <w:sz w:val="17"/>
          <w:szCs w:val="17"/>
        </w:rPr>
        <w:t>, подъезд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помещение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на сайте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2"/>
          <w:rFonts w:ascii="Arial" w:hAnsi="Arial" w:cs="Arial"/>
          <w:color w:val="000000"/>
          <w:sz w:val="17"/>
          <w:szCs w:val="17"/>
        </w:rPr>
        <w:t>.....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Таким образом, названное требование действующего законодательства было выполнено.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пункту 5 статьи 45 ЖК РФ, в сообщении о проведении общего собрания собственников помещений в многоквартирном доме должны быть указаны: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сведения о лице, по инициативе которого созывается данное собрание;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форма проведения данного собрания (очное, заочное или очно-заочное голосование);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повестка дня данного собрания;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На основании пункта 3 статьи 46 ЖК РФ, решения, принятые общим собранием собственников помещений в многоквартирном доме, а также итоги голосования были доведены до сведения собственников помещений в данном доме лицом,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всех собственников помещений в данном доме, не позднее чем через десять дней со дня принятия этих решений.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Исчерпывающий перечень требований к порядку проведения общего собрания собственников помещений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многоквартирном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жилом установлен перечисленными выше нормами Жилищного кодекса РФ.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Исходя из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изложенного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выше, общее собрание собственников помещений в многоквартирном жилом доме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(Протокол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) проведено в установленном законом порядке, в строгом соответствии с требованиями статей 44-48 ЖК РФ и законные основания для признания его результатов недействительными - отсутствуют.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Также, указанный довод подтверждается имеющимся в материалах дела письмом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31"/>
          <w:rFonts w:ascii="Arial" w:hAnsi="Arial" w:cs="Arial"/>
          <w:color w:val="000000"/>
          <w:sz w:val="17"/>
          <w:szCs w:val="17"/>
        </w:rPr>
        <w:t>наименование</w:t>
      </w:r>
      <w:proofErr w:type="gramStart"/>
      <w:r>
        <w:rPr>
          <w:rStyle w:val="fio31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46-47).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письменных возражениях ответчиками также указано, что оспариваемый протокол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составлен и подписан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. Тогда как Приказ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на который ссылается истец, согласно пояснениям к документу- вступает в силу по истечении 10 дней после дня его официального опубликования. Текст приказа опубликован на "Официальном интернет-портале правовой информации"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www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Style w:val="others3"/>
          <w:rFonts w:ascii="Arial" w:hAnsi="Arial" w:cs="Arial"/>
          <w:color w:val="000000"/>
          <w:sz w:val="17"/>
          <w:szCs w:val="17"/>
        </w:rPr>
        <w:t>.....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в Бюллетене нормативных актов федеральных органов исполнительной власти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приказ зарегистрирован 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40"/>
          <w:rFonts w:ascii="Arial" w:hAnsi="Arial" w:cs="Arial"/>
          <w:color w:val="000000"/>
          <w:sz w:val="17"/>
          <w:szCs w:val="17"/>
        </w:rPr>
        <w:t>"наименование4"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Статьей 54 Конституции РФ установлено, что закон обратной силы не имеет. Данное конституционное установление адресовано всем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правоприменителям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при выборе нормы, подлежащей применению в каждом конкретном деле.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довод 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 о признании результатов общего собрания собственников недействительными по причине несоответствия формы оформления оспариваемого протокола требованиям Приказа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37"/>
          <w:rFonts w:ascii="Arial" w:hAnsi="Arial" w:cs="Arial"/>
          <w:color w:val="000000"/>
          <w:sz w:val="17"/>
          <w:szCs w:val="17"/>
        </w:rPr>
        <w:t>"наименование3"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является необоснованным.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Пунктом 1 статьи 3 ГПК РФ предусмотрено, что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 истец не обладает процессуальным правом обращения в суд с иском о признании решения общего собрания собственников недействительным по следующим основаниям.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Положениями ЖК РФ определен круг лиц, имеющих право предъявления требований о признании недействительными решений общих собраний собственников: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-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ЖК РФ,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 (часть 6 статьи 46 ЖК РФ);</w:t>
      </w:r>
      <w:proofErr w:type="gramEnd"/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орган государственного жилищного надзора вправе обратиться в суд с заявлением о признании недействительным решения, принятого общим собранием собственников помещений в многоквартирном доме с нарушением требований ЖК РФ (часть 6 статьи 20 ЖК РФ)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оспариваемого протокола общего собрания следует, что инициатором проведения общего собрания 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 не выступало, собственником жилых помещений в жилом доме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Общество не является.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положениями статьи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доказательств,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указывалось ранее, исходя из положений части 6 статьи 46 ЖК РФ, право обжаловать в суд решение, принятое общим собранием собственников помещений в многоквартирном доме с нарушением требований ЖК РФ, принадлежит лишь собственнику помещения в данном доме.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Учитывая изложенное, полно и всесторонне оценив представленные в материалы дела документальные доказательства, принимая во внимание отсутствие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у ООО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 права на обжалование решения общего собрания собственников многоквартирного дома, суд не находит правовых оснований для удовлетворения исковых требований.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Руководствуясь статьями 194-199 Гражданского процессуального кодекса Российской Федерации, суд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 Ш И Л :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Исковые требования 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 xml:space="preserve">» 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Банжурак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4"/>
          <w:rFonts w:ascii="Arial" w:hAnsi="Arial" w:cs="Arial"/>
          <w:color w:val="000000"/>
          <w:sz w:val="17"/>
          <w:szCs w:val="17"/>
        </w:rPr>
        <w:t>И.Е.</w:t>
      </w:r>
      <w:r>
        <w:rPr>
          <w:rFonts w:ascii="Arial" w:hAnsi="Arial" w:cs="Arial"/>
          <w:color w:val="000000"/>
          <w:sz w:val="17"/>
          <w:szCs w:val="17"/>
        </w:rPr>
        <w:t>, Самойлову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5"/>
          <w:rFonts w:ascii="Arial" w:hAnsi="Arial" w:cs="Arial"/>
          <w:color w:val="000000"/>
          <w:sz w:val="17"/>
          <w:szCs w:val="17"/>
        </w:rPr>
        <w:t>В.Н.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Сиянгуловой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6"/>
          <w:rFonts w:ascii="Arial" w:hAnsi="Arial" w:cs="Arial"/>
          <w:color w:val="000000"/>
          <w:sz w:val="17"/>
          <w:szCs w:val="17"/>
        </w:rPr>
        <w:t>К.И.</w:t>
      </w:r>
      <w:r>
        <w:rPr>
          <w:rFonts w:ascii="Arial" w:hAnsi="Arial" w:cs="Arial"/>
          <w:color w:val="000000"/>
          <w:sz w:val="17"/>
          <w:szCs w:val="17"/>
        </w:rPr>
        <w:t>, Черкасовой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7"/>
          <w:rFonts w:ascii="Arial" w:hAnsi="Arial" w:cs="Arial"/>
          <w:color w:val="000000"/>
          <w:sz w:val="17"/>
          <w:szCs w:val="17"/>
        </w:rPr>
        <w:t>О.В.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Хамидулину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8"/>
          <w:rFonts w:ascii="Arial" w:hAnsi="Arial" w:cs="Arial"/>
          <w:color w:val="000000"/>
          <w:sz w:val="17"/>
          <w:szCs w:val="17"/>
        </w:rPr>
        <w:t>Р.В.</w:t>
      </w:r>
      <w:r>
        <w:rPr>
          <w:rFonts w:ascii="Arial" w:hAnsi="Arial" w:cs="Arial"/>
          <w:color w:val="000000"/>
          <w:sz w:val="17"/>
          <w:szCs w:val="17"/>
        </w:rPr>
        <w:t>, Бажановой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9"/>
          <w:rFonts w:ascii="Arial" w:hAnsi="Arial" w:cs="Arial"/>
          <w:color w:val="000000"/>
          <w:sz w:val="17"/>
          <w:szCs w:val="17"/>
        </w:rPr>
        <w:t>В.Г.</w:t>
      </w:r>
      <w:r>
        <w:rPr>
          <w:rFonts w:ascii="Arial" w:hAnsi="Arial" w:cs="Arial"/>
          <w:color w:val="000000"/>
          <w:sz w:val="17"/>
          <w:szCs w:val="17"/>
        </w:rPr>
        <w:t>, Логиновой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20"/>
          <w:rFonts w:ascii="Arial" w:hAnsi="Arial" w:cs="Arial"/>
          <w:color w:val="000000"/>
          <w:sz w:val="17"/>
          <w:szCs w:val="17"/>
        </w:rPr>
        <w:t>О.И.</w:t>
      </w:r>
      <w:r>
        <w:rPr>
          <w:rFonts w:ascii="Arial" w:hAnsi="Arial" w:cs="Arial"/>
          <w:color w:val="000000"/>
          <w:sz w:val="17"/>
          <w:szCs w:val="17"/>
        </w:rPr>
        <w:t>, ТСН «</w:t>
      </w:r>
      <w:r>
        <w:rPr>
          <w:rStyle w:val="fio21"/>
          <w:rFonts w:ascii="Arial" w:hAnsi="Arial" w:cs="Arial"/>
          <w:color w:val="000000"/>
          <w:sz w:val="17"/>
          <w:szCs w:val="17"/>
        </w:rPr>
        <w:t>наименование</w:t>
      </w:r>
      <w:proofErr w:type="gramStart"/>
      <w:r>
        <w:rPr>
          <w:rStyle w:val="fio21"/>
          <w:rFonts w:ascii="Arial" w:hAnsi="Arial" w:cs="Arial"/>
          <w:color w:val="000000"/>
          <w:sz w:val="17"/>
          <w:szCs w:val="17"/>
        </w:rPr>
        <w:t>1</w:t>
      </w:r>
      <w:proofErr w:type="gramEnd"/>
      <w:r>
        <w:rPr>
          <w:rFonts w:ascii="Arial" w:hAnsi="Arial" w:cs="Arial"/>
          <w:color w:val="000000"/>
          <w:sz w:val="17"/>
          <w:szCs w:val="17"/>
        </w:rPr>
        <w:t>» о признании недействительным решения общего собрания собственников в многоквартирном доме, расположенном по адресу: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АДРЕС</w:t>
      </w:r>
      <w:r>
        <w:rPr>
          <w:rFonts w:ascii="Arial" w:hAnsi="Arial" w:cs="Arial"/>
          <w:color w:val="000000"/>
          <w:sz w:val="17"/>
          <w:szCs w:val="17"/>
        </w:rPr>
        <w:t>, оформленное протоколом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о создании товарищества собственников недвижимости и передаче в управление многоквартирного дома, и решения о расторжении в одностороннем порядке договора управления многоквартирным домом, заключенным с ООО «</w:t>
      </w:r>
      <w:r>
        <w:rPr>
          <w:rStyle w:val="fio13"/>
          <w:rFonts w:ascii="Arial" w:hAnsi="Arial" w:cs="Arial"/>
          <w:color w:val="000000"/>
          <w:sz w:val="17"/>
          <w:szCs w:val="17"/>
        </w:rPr>
        <w:t>истец</w:t>
      </w:r>
      <w:r>
        <w:rPr>
          <w:rFonts w:ascii="Arial" w:hAnsi="Arial" w:cs="Arial"/>
          <w:color w:val="000000"/>
          <w:sz w:val="17"/>
          <w:szCs w:val="17"/>
        </w:rPr>
        <w:t>», - оставить без удовлетворения.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 может быть обжаловано в Московский областной суд через Одинцовский городской суд в течение одного месяца со дня составления мотивированного решения.</w:t>
      </w:r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Судья                                                                                     Д.К.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Васина</w:t>
      </w:r>
      <w:proofErr w:type="gramEnd"/>
    </w:p>
    <w:p w:rsidR="007C3A83" w:rsidRDefault="007C3A83" w:rsidP="007C3A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Мотивированное решение изготовлено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0D1B39" w:rsidRDefault="007C3A83">
      <w:bookmarkStart w:id="0" w:name="_GoBack"/>
      <w:bookmarkEnd w:id="0"/>
    </w:p>
    <w:sectPr w:rsidR="000D1B39" w:rsidSect="007C3A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3"/>
    <w:rsid w:val="007C3A83"/>
    <w:rsid w:val="008D7926"/>
    <w:rsid w:val="009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a3">
    <w:name w:val="msoclassa3"/>
    <w:basedOn w:val="a"/>
    <w:rsid w:val="007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5">
    <w:name w:val="msoclassa5"/>
    <w:basedOn w:val="a"/>
    <w:rsid w:val="007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7C3A83"/>
  </w:style>
  <w:style w:type="character" w:customStyle="1" w:styleId="fio13">
    <w:name w:val="fio13"/>
    <w:basedOn w:val="a0"/>
    <w:rsid w:val="007C3A83"/>
  </w:style>
  <w:style w:type="character" w:customStyle="1" w:styleId="apple-converted-space">
    <w:name w:val="apple-converted-space"/>
    <w:basedOn w:val="a0"/>
    <w:rsid w:val="007C3A83"/>
  </w:style>
  <w:style w:type="character" w:customStyle="1" w:styleId="fio14">
    <w:name w:val="fio14"/>
    <w:basedOn w:val="a0"/>
    <w:rsid w:val="007C3A83"/>
  </w:style>
  <w:style w:type="character" w:customStyle="1" w:styleId="fio15">
    <w:name w:val="fio15"/>
    <w:basedOn w:val="a0"/>
    <w:rsid w:val="007C3A83"/>
  </w:style>
  <w:style w:type="character" w:customStyle="1" w:styleId="fio16">
    <w:name w:val="fio16"/>
    <w:basedOn w:val="a0"/>
    <w:rsid w:val="007C3A83"/>
  </w:style>
  <w:style w:type="character" w:customStyle="1" w:styleId="fio17">
    <w:name w:val="fio17"/>
    <w:basedOn w:val="a0"/>
    <w:rsid w:val="007C3A83"/>
  </w:style>
  <w:style w:type="character" w:customStyle="1" w:styleId="fio18">
    <w:name w:val="fio18"/>
    <w:basedOn w:val="a0"/>
    <w:rsid w:val="007C3A83"/>
  </w:style>
  <w:style w:type="character" w:customStyle="1" w:styleId="fio19">
    <w:name w:val="fio19"/>
    <w:basedOn w:val="a0"/>
    <w:rsid w:val="007C3A83"/>
  </w:style>
  <w:style w:type="character" w:customStyle="1" w:styleId="fio20">
    <w:name w:val="fio20"/>
    <w:basedOn w:val="a0"/>
    <w:rsid w:val="007C3A83"/>
  </w:style>
  <w:style w:type="character" w:customStyle="1" w:styleId="fio21">
    <w:name w:val="fio21"/>
    <w:basedOn w:val="a0"/>
    <w:rsid w:val="007C3A83"/>
  </w:style>
  <w:style w:type="character" w:customStyle="1" w:styleId="address2">
    <w:name w:val="address2"/>
    <w:basedOn w:val="a0"/>
    <w:rsid w:val="007C3A83"/>
  </w:style>
  <w:style w:type="character" w:customStyle="1" w:styleId="nomer2">
    <w:name w:val="nomer2"/>
    <w:basedOn w:val="a0"/>
    <w:rsid w:val="007C3A83"/>
  </w:style>
  <w:style w:type="character" w:customStyle="1" w:styleId="fio31">
    <w:name w:val="fio31"/>
    <w:basedOn w:val="a0"/>
    <w:rsid w:val="007C3A83"/>
  </w:style>
  <w:style w:type="character" w:customStyle="1" w:styleId="others1">
    <w:name w:val="others1"/>
    <w:basedOn w:val="a0"/>
    <w:rsid w:val="007C3A83"/>
  </w:style>
  <w:style w:type="character" w:customStyle="1" w:styleId="fio37">
    <w:name w:val="fio37"/>
    <w:basedOn w:val="a0"/>
    <w:rsid w:val="007C3A83"/>
  </w:style>
  <w:style w:type="character" w:customStyle="1" w:styleId="others2">
    <w:name w:val="others2"/>
    <w:basedOn w:val="a0"/>
    <w:rsid w:val="007C3A83"/>
  </w:style>
  <w:style w:type="character" w:customStyle="1" w:styleId="others3">
    <w:name w:val="others3"/>
    <w:basedOn w:val="a0"/>
    <w:rsid w:val="007C3A83"/>
  </w:style>
  <w:style w:type="character" w:customStyle="1" w:styleId="fio40">
    <w:name w:val="fio40"/>
    <w:basedOn w:val="a0"/>
    <w:rsid w:val="007C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a3">
    <w:name w:val="msoclassa3"/>
    <w:basedOn w:val="a"/>
    <w:rsid w:val="007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5">
    <w:name w:val="msoclassa5"/>
    <w:basedOn w:val="a"/>
    <w:rsid w:val="007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7C3A83"/>
  </w:style>
  <w:style w:type="character" w:customStyle="1" w:styleId="fio13">
    <w:name w:val="fio13"/>
    <w:basedOn w:val="a0"/>
    <w:rsid w:val="007C3A83"/>
  </w:style>
  <w:style w:type="character" w:customStyle="1" w:styleId="apple-converted-space">
    <w:name w:val="apple-converted-space"/>
    <w:basedOn w:val="a0"/>
    <w:rsid w:val="007C3A83"/>
  </w:style>
  <w:style w:type="character" w:customStyle="1" w:styleId="fio14">
    <w:name w:val="fio14"/>
    <w:basedOn w:val="a0"/>
    <w:rsid w:val="007C3A83"/>
  </w:style>
  <w:style w:type="character" w:customStyle="1" w:styleId="fio15">
    <w:name w:val="fio15"/>
    <w:basedOn w:val="a0"/>
    <w:rsid w:val="007C3A83"/>
  </w:style>
  <w:style w:type="character" w:customStyle="1" w:styleId="fio16">
    <w:name w:val="fio16"/>
    <w:basedOn w:val="a0"/>
    <w:rsid w:val="007C3A83"/>
  </w:style>
  <w:style w:type="character" w:customStyle="1" w:styleId="fio17">
    <w:name w:val="fio17"/>
    <w:basedOn w:val="a0"/>
    <w:rsid w:val="007C3A83"/>
  </w:style>
  <w:style w:type="character" w:customStyle="1" w:styleId="fio18">
    <w:name w:val="fio18"/>
    <w:basedOn w:val="a0"/>
    <w:rsid w:val="007C3A83"/>
  </w:style>
  <w:style w:type="character" w:customStyle="1" w:styleId="fio19">
    <w:name w:val="fio19"/>
    <w:basedOn w:val="a0"/>
    <w:rsid w:val="007C3A83"/>
  </w:style>
  <w:style w:type="character" w:customStyle="1" w:styleId="fio20">
    <w:name w:val="fio20"/>
    <w:basedOn w:val="a0"/>
    <w:rsid w:val="007C3A83"/>
  </w:style>
  <w:style w:type="character" w:customStyle="1" w:styleId="fio21">
    <w:name w:val="fio21"/>
    <w:basedOn w:val="a0"/>
    <w:rsid w:val="007C3A83"/>
  </w:style>
  <w:style w:type="character" w:customStyle="1" w:styleId="address2">
    <w:name w:val="address2"/>
    <w:basedOn w:val="a0"/>
    <w:rsid w:val="007C3A83"/>
  </w:style>
  <w:style w:type="character" w:customStyle="1" w:styleId="nomer2">
    <w:name w:val="nomer2"/>
    <w:basedOn w:val="a0"/>
    <w:rsid w:val="007C3A83"/>
  </w:style>
  <w:style w:type="character" w:customStyle="1" w:styleId="fio31">
    <w:name w:val="fio31"/>
    <w:basedOn w:val="a0"/>
    <w:rsid w:val="007C3A83"/>
  </w:style>
  <w:style w:type="character" w:customStyle="1" w:styleId="others1">
    <w:name w:val="others1"/>
    <w:basedOn w:val="a0"/>
    <w:rsid w:val="007C3A83"/>
  </w:style>
  <w:style w:type="character" w:customStyle="1" w:styleId="fio37">
    <w:name w:val="fio37"/>
    <w:basedOn w:val="a0"/>
    <w:rsid w:val="007C3A83"/>
  </w:style>
  <w:style w:type="character" w:customStyle="1" w:styleId="others2">
    <w:name w:val="others2"/>
    <w:basedOn w:val="a0"/>
    <w:rsid w:val="007C3A83"/>
  </w:style>
  <w:style w:type="character" w:customStyle="1" w:styleId="others3">
    <w:name w:val="others3"/>
    <w:basedOn w:val="a0"/>
    <w:rsid w:val="007C3A83"/>
  </w:style>
  <w:style w:type="character" w:customStyle="1" w:styleId="fio40">
    <w:name w:val="fio40"/>
    <w:basedOn w:val="a0"/>
    <w:rsid w:val="007C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Королева</dc:creator>
  <cp:lastModifiedBy>Юлия Королева</cp:lastModifiedBy>
  <cp:revision>1</cp:revision>
  <dcterms:created xsi:type="dcterms:W3CDTF">2017-01-13T08:25:00Z</dcterms:created>
  <dcterms:modified xsi:type="dcterms:W3CDTF">2017-01-13T08:33:00Z</dcterms:modified>
</cp:coreProperties>
</file>